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val="en-US" w:eastAsia="zh-CN"/>
        </w:rP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val="en-US" w:eastAsia="zh-CN"/>
        </w:rP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val="en-US" w:eastAsia="zh-CN"/>
        </w:rP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val="en-US" w:eastAsia="zh-CN"/>
        </w:rP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val="en-US" w:eastAsia="zh-CN"/>
        </w:rP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val="en-US" w:eastAsia="zh-CN"/>
        </w:rPr>
        <w:t>9</w:t>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单位预算政府基金预算财政拨款支出表</w:t>
      </w:r>
      <w:r>
        <w:tab/>
      </w:r>
      <w:r>
        <w:rPr>
          <w:rFonts w:hint="eastAsia"/>
          <w:lang w:val="en-US" w:eastAsia="zh-CN"/>
        </w:rPr>
        <w:t>1</w:t>
      </w:r>
      <w:r>
        <w:fldChar w:fldCharType="end"/>
      </w:r>
      <w:r>
        <w:rPr>
          <w:rFonts w:hint="eastAsia"/>
          <w:lang w:val="en-US" w:eastAsia="zh-CN"/>
        </w:rPr>
        <w:t>0</w:t>
      </w:r>
    </w:p>
    <w:p>
      <w:pPr>
        <w:pStyle w:val="7"/>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单位预算国有资本经营预算财政拨款支出表</w:t>
      </w:r>
      <w:r>
        <w:tab/>
      </w:r>
      <w:r>
        <w:rPr>
          <w:rFonts w:hint="eastAsia"/>
          <w:lang w:val="en-US" w:eastAsia="zh-CN"/>
        </w:rPr>
        <w:t>1</w:t>
      </w:r>
      <w:r>
        <w:fldChar w:fldCharType="end"/>
      </w:r>
      <w:r>
        <w:rPr>
          <w:rFonts w:hint="eastAsia"/>
          <w:lang w:val="en-US" w:eastAsia="zh-CN"/>
        </w:rPr>
        <w:t>1</w:t>
      </w:r>
    </w:p>
    <w:p>
      <w:pPr>
        <w:pStyle w:val="7"/>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单位预算财政拨款“三公”经费支出表</w:t>
      </w:r>
      <w:r>
        <w:tab/>
      </w:r>
      <w:r>
        <w:rPr>
          <w:rFonts w:hint="eastAsia"/>
          <w:lang w:val="en-US" w:eastAsia="zh-CN"/>
        </w:rPr>
        <w:t>1</w:t>
      </w:r>
      <w:r>
        <w:fldChar w:fldCharType="end"/>
      </w:r>
      <w:r>
        <w:rPr>
          <w:rFonts w:hint="eastAsia"/>
          <w:lang w:val="en-US" w:eastAsia="zh-CN"/>
        </w:rPr>
        <w:t>2</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3</w:t>
      </w:r>
    </w:p>
    <w:p>
      <w:pPr>
        <w:pStyle w:val="7"/>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3</w:t>
      </w:r>
    </w:p>
    <w:p>
      <w:pPr>
        <w:pStyle w:val="7"/>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1</w:t>
      </w:r>
      <w:r>
        <w:fldChar w:fldCharType="end"/>
      </w:r>
      <w:r>
        <w:rPr>
          <w:rFonts w:hint="eastAsia"/>
          <w:lang w:val="en-US" w:eastAsia="zh-CN"/>
        </w:rPr>
        <w:t>9</w:t>
      </w:r>
    </w:p>
    <w:p>
      <w:pPr>
        <w:pStyle w:val="7"/>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1</w:t>
      </w:r>
      <w:r>
        <w:fldChar w:fldCharType="end"/>
      </w:r>
      <w:r>
        <w:rPr>
          <w:rFonts w:hint="eastAsia"/>
          <w:lang w:val="en-US" w:eastAsia="zh-CN"/>
        </w:rPr>
        <w:t>9</w:t>
      </w:r>
    </w:p>
    <w:p>
      <w:pPr>
        <w:pStyle w:val="7"/>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21</w:t>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2</w:t>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六十一、霸州市东杨庄乡下坊中心小学收支预算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501555霸州市东杨庄乡下坊中心小学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538.64</w:t>
            </w:r>
          </w:p>
        </w:tc>
        <w:tc>
          <w:tcPr>
            <w:tcW w:w="4535" w:type="dxa"/>
            <w:vAlign w:val="center"/>
          </w:tcPr>
          <w:p>
            <w:pPr>
              <w:pStyle w:val="22"/>
            </w:pPr>
            <w:r>
              <w:t>一、一般公共服务支出</w:t>
            </w:r>
          </w:p>
        </w:tc>
        <w:tc>
          <w:tcPr>
            <w:tcW w:w="2126"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538.64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538.64</w:t>
            </w:r>
          </w:p>
        </w:tc>
        <w:tc>
          <w:tcPr>
            <w:tcW w:w="4535" w:type="dxa"/>
            <w:vAlign w:val="center"/>
          </w:tcPr>
          <w:p>
            <w:pPr>
              <w:pStyle w:val="24"/>
            </w:pPr>
            <w:r>
              <w:t>本年支出合计</w:t>
            </w:r>
          </w:p>
        </w:tc>
        <w:tc>
          <w:tcPr>
            <w:tcW w:w="2126" w:type="dxa"/>
            <w:vAlign w:val="center"/>
          </w:tcPr>
          <w:p>
            <w:pPr>
              <w:pStyle w:val="25"/>
            </w:pPr>
            <w:r>
              <w:t>538.64</w:t>
            </w: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538.64</w:t>
            </w:r>
          </w:p>
        </w:tc>
        <w:tc>
          <w:tcPr>
            <w:tcW w:w="4535" w:type="dxa"/>
            <w:vAlign w:val="center"/>
          </w:tcPr>
          <w:p>
            <w:pPr>
              <w:pStyle w:val="24"/>
            </w:pPr>
            <w:r>
              <w:t>支出总计</w:t>
            </w:r>
          </w:p>
        </w:tc>
        <w:tc>
          <w:tcPr>
            <w:tcW w:w="2126" w:type="dxa"/>
            <w:vAlign w:val="center"/>
          </w:tcPr>
          <w:p>
            <w:pPr>
              <w:pStyle w:val="25"/>
            </w:pPr>
            <w:r>
              <w:t>538.64</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501555霸州市东杨庄乡下坊中心小学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538.64</w:t>
            </w:r>
          </w:p>
        </w:tc>
        <w:tc>
          <w:tcPr>
            <w:tcW w:w="1134" w:type="dxa"/>
            <w:vAlign w:val="center"/>
          </w:tcPr>
          <w:p>
            <w:pPr>
              <w:pStyle w:val="25"/>
            </w:pPr>
            <w:r>
              <w:t>538.64</w:t>
            </w:r>
          </w:p>
        </w:tc>
        <w:tc>
          <w:tcPr>
            <w:tcW w:w="1134" w:type="dxa"/>
            <w:vAlign w:val="center"/>
          </w:tcPr>
          <w:p>
            <w:pPr>
              <w:pStyle w:val="25"/>
            </w:pPr>
            <w:r>
              <w:t>538.64</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538.64</w:t>
            </w:r>
          </w:p>
        </w:tc>
        <w:tc>
          <w:tcPr>
            <w:tcW w:w="1134" w:type="dxa"/>
            <w:vAlign w:val="center"/>
          </w:tcPr>
          <w:p>
            <w:pPr>
              <w:pStyle w:val="21"/>
            </w:pPr>
            <w:r>
              <w:t>538.64</w:t>
            </w:r>
          </w:p>
        </w:tc>
        <w:tc>
          <w:tcPr>
            <w:tcW w:w="1134" w:type="dxa"/>
            <w:vAlign w:val="center"/>
          </w:tcPr>
          <w:p>
            <w:pPr>
              <w:pStyle w:val="21"/>
            </w:pPr>
            <w:r>
              <w:t>538.64</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538.64</w:t>
            </w:r>
          </w:p>
        </w:tc>
        <w:tc>
          <w:tcPr>
            <w:tcW w:w="1134" w:type="dxa"/>
            <w:vAlign w:val="center"/>
          </w:tcPr>
          <w:p>
            <w:pPr>
              <w:pStyle w:val="21"/>
            </w:pPr>
            <w:r>
              <w:t>538.64</w:t>
            </w:r>
          </w:p>
        </w:tc>
        <w:tc>
          <w:tcPr>
            <w:tcW w:w="1134" w:type="dxa"/>
            <w:vAlign w:val="center"/>
          </w:tcPr>
          <w:p>
            <w:pPr>
              <w:pStyle w:val="21"/>
            </w:pPr>
            <w:r>
              <w:t>538.64</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538.64</w:t>
            </w:r>
          </w:p>
        </w:tc>
        <w:tc>
          <w:tcPr>
            <w:tcW w:w="1134" w:type="dxa"/>
            <w:vAlign w:val="center"/>
          </w:tcPr>
          <w:p>
            <w:pPr>
              <w:pStyle w:val="21"/>
            </w:pPr>
            <w:r>
              <w:t>538.64</w:t>
            </w:r>
          </w:p>
        </w:tc>
        <w:tc>
          <w:tcPr>
            <w:tcW w:w="1134" w:type="dxa"/>
            <w:vAlign w:val="center"/>
          </w:tcPr>
          <w:p>
            <w:pPr>
              <w:pStyle w:val="21"/>
            </w:pPr>
            <w:r>
              <w:t>538.64</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501555霸州市东杨庄乡下坊中心小学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538.64</w:t>
            </w:r>
          </w:p>
        </w:tc>
        <w:tc>
          <w:tcPr>
            <w:tcW w:w="1361" w:type="dxa"/>
            <w:vAlign w:val="center"/>
          </w:tcPr>
          <w:p>
            <w:pPr>
              <w:pStyle w:val="25"/>
            </w:pPr>
            <w:r>
              <w:t>485.91</w:t>
            </w:r>
          </w:p>
        </w:tc>
        <w:tc>
          <w:tcPr>
            <w:tcW w:w="1361" w:type="dxa"/>
            <w:vAlign w:val="center"/>
          </w:tcPr>
          <w:p>
            <w:pPr>
              <w:pStyle w:val="25"/>
            </w:pPr>
            <w:r>
              <w:t>52.73</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538.64</w:t>
            </w:r>
          </w:p>
        </w:tc>
        <w:tc>
          <w:tcPr>
            <w:tcW w:w="1361" w:type="dxa"/>
            <w:vAlign w:val="center"/>
          </w:tcPr>
          <w:p>
            <w:pPr>
              <w:pStyle w:val="21"/>
            </w:pPr>
            <w:r>
              <w:t>485.91</w:t>
            </w:r>
          </w:p>
        </w:tc>
        <w:tc>
          <w:tcPr>
            <w:tcW w:w="1361" w:type="dxa"/>
            <w:vAlign w:val="center"/>
          </w:tcPr>
          <w:p>
            <w:pPr>
              <w:pStyle w:val="21"/>
            </w:pPr>
            <w:r>
              <w:t>52.73</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538.64</w:t>
            </w:r>
          </w:p>
        </w:tc>
        <w:tc>
          <w:tcPr>
            <w:tcW w:w="1361" w:type="dxa"/>
            <w:vAlign w:val="center"/>
          </w:tcPr>
          <w:p>
            <w:pPr>
              <w:pStyle w:val="21"/>
            </w:pPr>
            <w:r>
              <w:t>485.91</w:t>
            </w:r>
          </w:p>
        </w:tc>
        <w:tc>
          <w:tcPr>
            <w:tcW w:w="1361" w:type="dxa"/>
            <w:vAlign w:val="center"/>
          </w:tcPr>
          <w:p>
            <w:pPr>
              <w:pStyle w:val="21"/>
            </w:pPr>
            <w:r>
              <w:t>52.73</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538.64</w:t>
            </w:r>
          </w:p>
        </w:tc>
        <w:tc>
          <w:tcPr>
            <w:tcW w:w="1361" w:type="dxa"/>
            <w:vAlign w:val="center"/>
          </w:tcPr>
          <w:p>
            <w:pPr>
              <w:pStyle w:val="21"/>
            </w:pPr>
            <w:r>
              <w:t>485.91</w:t>
            </w:r>
          </w:p>
        </w:tc>
        <w:tc>
          <w:tcPr>
            <w:tcW w:w="1361" w:type="dxa"/>
            <w:vAlign w:val="center"/>
          </w:tcPr>
          <w:p>
            <w:pPr>
              <w:pStyle w:val="21"/>
            </w:pPr>
            <w:r>
              <w:t>52.73</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501555霸州市东杨庄乡下坊中心小学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538.64</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538.64</w:t>
            </w:r>
          </w:p>
        </w:tc>
        <w:tc>
          <w:tcPr>
            <w:tcW w:w="1474" w:type="dxa"/>
            <w:vAlign w:val="center"/>
          </w:tcPr>
          <w:p>
            <w:pPr>
              <w:pStyle w:val="21"/>
            </w:pPr>
            <w:r>
              <w:t>538.64</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538.64</w:t>
            </w:r>
          </w:p>
        </w:tc>
        <w:tc>
          <w:tcPr>
            <w:tcW w:w="3402" w:type="dxa"/>
            <w:vAlign w:val="center"/>
          </w:tcPr>
          <w:p>
            <w:pPr>
              <w:pStyle w:val="24"/>
            </w:pPr>
            <w:r>
              <w:t>本年支出合计</w:t>
            </w:r>
          </w:p>
        </w:tc>
        <w:tc>
          <w:tcPr>
            <w:tcW w:w="1474" w:type="dxa"/>
            <w:vAlign w:val="center"/>
          </w:tcPr>
          <w:p>
            <w:pPr>
              <w:pStyle w:val="25"/>
            </w:pPr>
            <w:r>
              <w:t>538.64</w:t>
            </w:r>
          </w:p>
        </w:tc>
        <w:tc>
          <w:tcPr>
            <w:tcW w:w="1474" w:type="dxa"/>
            <w:vAlign w:val="center"/>
          </w:tcPr>
          <w:p>
            <w:pPr>
              <w:pStyle w:val="25"/>
            </w:pPr>
            <w:r>
              <w:t>538.64</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538.64</w:t>
            </w:r>
          </w:p>
        </w:tc>
        <w:tc>
          <w:tcPr>
            <w:tcW w:w="3402" w:type="dxa"/>
            <w:vAlign w:val="center"/>
          </w:tcPr>
          <w:p>
            <w:pPr>
              <w:pStyle w:val="24"/>
            </w:pPr>
            <w:r>
              <w:t>支出总计</w:t>
            </w:r>
          </w:p>
        </w:tc>
        <w:tc>
          <w:tcPr>
            <w:tcW w:w="1474" w:type="dxa"/>
            <w:vAlign w:val="center"/>
          </w:tcPr>
          <w:p>
            <w:pPr>
              <w:pStyle w:val="25"/>
            </w:pPr>
            <w:r>
              <w:t>538.64</w:t>
            </w:r>
          </w:p>
        </w:tc>
        <w:tc>
          <w:tcPr>
            <w:tcW w:w="1474" w:type="dxa"/>
            <w:vAlign w:val="center"/>
          </w:tcPr>
          <w:p>
            <w:pPr>
              <w:pStyle w:val="25"/>
            </w:pPr>
            <w:r>
              <w:t>538.64</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501555霸州市东杨庄乡下坊中心小学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538.64</w:t>
            </w:r>
          </w:p>
        </w:tc>
        <w:tc>
          <w:tcPr>
            <w:tcW w:w="2551" w:type="dxa"/>
            <w:vAlign w:val="center"/>
          </w:tcPr>
          <w:p>
            <w:pPr>
              <w:pStyle w:val="25"/>
            </w:pPr>
            <w:r>
              <w:t>485.91</w:t>
            </w:r>
          </w:p>
        </w:tc>
        <w:tc>
          <w:tcPr>
            <w:tcW w:w="2551" w:type="dxa"/>
            <w:vAlign w:val="center"/>
          </w:tcPr>
          <w:p>
            <w:pPr>
              <w:pStyle w:val="25"/>
            </w:pPr>
            <w:r>
              <w:t>52.73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538.64</w:t>
            </w:r>
          </w:p>
        </w:tc>
        <w:tc>
          <w:tcPr>
            <w:tcW w:w="2551" w:type="dxa"/>
            <w:vAlign w:val="center"/>
          </w:tcPr>
          <w:p>
            <w:pPr>
              <w:pStyle w:val="21"/>
            </w:pPr>
            <w:r>
              <w:t>485.91</w:t>
            </w:r>
          </w:p>
        </w:tc>
        <w:tc>
          <w:tcPr>
            <w:tcW w:w="2551" w:type="dxa"/>
            <w:vAlign w:val="center"/>
          </w:tcPr>
          <w:p>
            <w:pPr>
              <w:pStyle w:val="21"/>
            </w:pPr>
            <w:r>
              <w:t>52.73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538.64</w:t>
            </w:r>
          </w:p>
        </w:tc>
        <w:tc>
          <w:tcPr>
            <w:tcW w:w="2551" w:type="dxa"/>
            <w:vAlign w:val="center"/>
          </w:tcPr>
          <w:p>
            <w:pPr>
              <w:pStyle w:val="21"/>
            </w:pPr>
            <w:r>
              <w:t>485.91</w:t>
            </w:r>
          </w:p>
        </w:tc>
        <w:tc>
          <w:tcPr>
            <w:tcW w:w="2551" w:type="dxa"/>
            <w:vAlign w:val="center"/>
          </w:tcPr>
          <w:p>
            <w:pPr>
              <w:pStyle w:val="21"/>
            </w:pPr>
            <w:r>
              <w:t>52.73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538.64</w:t>
            </w:r>
          </w:p>
        </w:tc>
        <w:tc>
          <w:tcPr>
            <w:tcW w:w="2551" w:type="dxa"/>
            <w:vAlign w:val="center"/>
          </w:tcPr>
          <w:p>
            <w:pPr>
              <w:pStyle w:val="21"/>
            </w:pPr>
            <w:r>
              <w:t>485.91</w:t>
            </w:r>
          </w:p>
        </w:tc>
        <w:tc>
          <w:tcPr>
            <w:tcW w:w="2551" w:type="dxa"/>
            <w:vAlign w:val="center"/>
          </w:tcPr>
          <w:p>
            <w:pPr>
              <w:pStyle w:val="21"/>
            </w:pPr>
            <w:r>
              <w:t>52.73</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501555霸州市东杨庄乡下坊中心小学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485.91</w:t>
            </w:r>
          </w:p>
        </w:tc>
        <w:tc>
          <w:tcPr>
            <w:tcW w:w="2551" w:type="dxa"/>
            <w:vAlign w:val="center"/>
          </w:tcPr>
          <w:p>
            <w:pPr>
              <w:pStyle w:val="25"/>
            </w:pPr>
            <w:r>
              <w:t>479.37</w:t>
            </w:r>
          </w:p>
        </w:tc>
        <w:tc>
          <w:tcPr>
            <w:tcW w:w="2551" w:type="dxa"/>
            <w:vAlign w:val="center"/>
          </w:tcPr>
          <w:p>
            <w:pPr>
              <w:pStyle w:val="25"/>
            </w:pPr>
            <w:r>
              <w:t>6.54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411.49</w:t>
            </w:r>
          </w:p>
        </w:tc>
        <w:tc>
          <w:tcPr>
            <w:tcW w:w="2551" w:type="dxa"/>
            <w:vAlign w:val="center"/>
          </w:tcPr>
          <w:p>
            <w:pPr>
              <w:pStyle w:val="21"/>
            </w:pPr>
            <w:r>
              <w:t>411.49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86.17</w:t>
            </w:r>
          </w:p>
        </w:tc>
        <w:tc>
          <w:tcPr>
            <w:tcW w:w="2551" w:type="dxa"/>
            <w:vAlign w:val="center"/>
          </w:tcPr>
          <w:p>
            <w:pPr>
              <w:pStyle w:val="21"/>
            </w:pPr>
            <w:r>
              <w:t>86.17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21.05</w:t>
            </w:r>
          </w:p>
        </w:tc>
        <w:tc>
          <w:tcPr>
            <w:tcW w:w="2551" w:type="dxa"/>
            <w:vAlign w:val="center"/>
          </w:tcPr>
          <w:p>
            <w:pPr>
              <w:pStyle w:val="21"/>
            </w:pPr>
            <w:r>
              <w:t>21.05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123.71</w:t>
            </w:r>
          </w:p>
        </w:tc>
        <w:tc>
          <w:tcPr>
            <w:tcW w:w="2551" w:type="dxa"/>
            <w:vAlign w:val="center"/>
          </w:tcPr>
          <w:p>
            <w:pPr>
              <w:pStyle w:val="21"/>
            </w:pPr>
            <w:r>
              <w:t>123.71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28.49</w:t>
            </w:r>
          </w:p>
        </w:tc>
        <w:tc>
          <w:tcPr>
            <w:tcW w:w="2551" w:type="dxa"/>
            <w:vAlign w:val="center"/>
          </w:tcPr>
          <w:p>
            <w:pPr>
              <w:pStyle w:val="21"/>
            </w:pPr>
            <w:r>
              <w:t>28.49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8.34</w:t>
            </w:r>
          </w:p>
        </w:tc>
        <w:tc>
          <w:tcPr>
            <w:tcW w:w="2551" w:type="dxa"/>
            <w:vAlign w:val="center"/>
          </w:tcPr>
          <w:p>
            <w:pPr>
              <w:pStyle w:val="21"/>
            </w:pPr>
            <w:r>
              <w:t>8.34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2.02</w:t>
            </w:r>
          </w:p>
        </w:tc>
        <w:tc>
          <w:tcPr>
            <w:tcW w:w="2551" w:type="dxa"/>
            <w:vAlign w:val="center"/>
          </w:tcPr>
          <w:p>
            <w:pPr>
              <w:pStyle w:val="21"/>
            </w:pPr>
            <w:r>
              <w:t>2.02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23.31</w:t>
            </w:r>
          </w:p>
        </w:tc>
        <w:tc>
          <w:tcPr>
            <w:tcW w:w="2551" w:type="dxa"/>
            <w:vAlign w:val="center"/>
          </w:tcPr>
          <w:p>
            <w:pPr>
              <w:pStyle w:val="21"/>
            </w:pPr>
            <w:r>
              <w:t>23.31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118.40</w:t>
            </w:r>
          </w:p>
        </w:tc>
        <w:tc>
          <w:tcPr>
            <w:tcW w:w="2551" w:type="dxa"/>
            <w:vAlign w:val="center"/>
          </w:tcPr>
          <w:p>
            <w:pPr>
              <w:pStyle w:val="21"/>
            </w:pPr>
            <w:r>
              <w:t>118.40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6.54</w:t>
            </w:r>
          </w:p>
        </w:tc>
        <w:tc>
          <w:tcPr>
            <w:tcW w:w="2551" w:type="dxa"/>
            <w:vAlign w:val="center"/>
          </w:tcPr>
          <w:p>
            <w:pPr>
              <w:pStyle w:val="21"/>
            </w:pPr>
          </w:p>
        </w:tc>
        <w:tc>
          <w:tcPr>
            <w:tcW w:w="2551" w:type="dxa"/>
            <w:vAlign w:val="center"/>
          </w:tcPr>
          <w:p>
            <w:pPr>
              <w:pStyle w:val="21"/>
            </w:pPr>
            <w:r>
              <w:t>6.54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3.88</w:t>
            </w:r>
          </w:p>
        </w:tc>
        <w:tc>
          <w:tcPr>
            <w:tcW w:w="2551" w:type="dxa"/>
            <w:vAlign w:val="center"/>
          </w:tcPr>
          <w:p>
            <w:pPr>
              <w:pStyle w:val="21"/>
            </w:pPr>
          </w:p>
        </w:tc>
        <w:tc>
          <w:tcPr>
            <w:tcW w:w="2551" w:type="dxa"/>
            <w:vAlign w:val="center"/>
          </w:tcPr>
          <w:p>
            <w:pPr>
              <w:pStyle w:val="21"/>
            </w:pPr>
            <w:r>
              <w:t>3.88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2.66</w:t>
            </w:r>
          </w:p>
        </w:tc>
        <w:tc>
          <w:tcPr>
            <w:tcW w:w="2551" w:type="dxa"/>
            <w:vAlign w:val="center"/>
          </w:tcPr>
          <w:p>
            <w:pPr>
              <w:pStyle w:val="21"/>
            </w:pPr>
          </w:p>
        </w:tc>
        <w:tc>
          <w:tcPr>
            <w:tcW w:w="2551" w:type="dxa"/>
            <w:vAlign w:val="center"/>
          </w:tcPr>
          <w:p>
            <w:pPr>
              <w:pStyle w:val="21"/>
            </w:pPr>
            <w:r>
              <w:t>2.66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67.88</w:t>
            </w:r>
          </w:p>
        </w:tc>
        <w:tc>
          <w:tcPr>
            <w:tcW w:w="2551" w:type="dxa"/>
            <w:vAlign w:val="center"/>
          </w:tcPr>
          <w:p>
            <w:pPr>
              <w:pStyle w:val="21"/>
            </w:pPr>
            <w:r>
              <w:t>67.88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50.20</w:t>
            </w:r>
          </w:p>
        </w:tc>
        <w:tc>
          <w:tcPr>
            <w:tcW w:w="2551" w:type="dxa"/>
            <w:vAlign w:val="center"/>
          </w:tcPr>
          <w:p>
            <w:pPr>
              <w:pStyle w:val="21"/>
            </w:pPr>
            <w:r>
              <w:t>50.20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17.64</w:t>
            </w:r>
          </w:p>
        </w:tc>
        <w:tc>
          <w:tcPr>
            <w:tcW w:w="2551" w:type="dxa"/>
            <w:vAlign w:val="center"/>
          </w:tcPr>
          <w:p>
            <w:pPr>
              <w:pStyle w:val="21"/>
            </w:pPr>
            <w:r>
              <w:t>17.64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0.04</w:t>
            </w:r>
          </w:p>
        </w:tc>
        <w:tc>
          <w:tcPr>
            <w:tcW w:w="2551" w:type="dxa"/>
            <w:vAlign w:val="center"/>
          </w:tcPr>
          <w:p>
            <w:pPr>
              <w:pStyle w:val="21"/>
            </w:pPr>
            <w:r>
              <w:t>0.04</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501555霸州市东杨庄乡下坊中心小学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501555霸州市东杨庄乡下坊中心小学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501555霸州市东杨庄乡下坊中心小学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4"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1"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p>
        </w:tc>
        <w:tc>
          <w:tcPr>
            <w:tcW w:w="3798" w:type="dxa"/>
            <w:vAlign w:val="center"/>
          </w:tcPr>
          <w:p>
            <w:pPr>
              <w:pStyle w:val="22"/>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霸州市东杨庄乡下坊中心小学2023年单位预算信息公开情况说明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按照《预算法》、《地方预决算公开操作规程》和《关于进一步推进预算公开工作的实施意见》规定，现将霸州市东杨庄乡下坊中心小学2023年单位预算公开如下：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widowControl w:val="0"/>
        <w:spacing w:line="500" w:lineRule="exact"/>
        <w:ind w:firstLine="560"/>
        <w:jc w:val="both"/>
        <w:rPr>
          <w:rFonts w:hint="default" w:eastAsia="方正仿宋_GBK" w:asciiTheme="minorHAnsi" w:hAnsiTheme="minorHAnsi" w:cstheme="minorBidi"/>
          <w:kern w:val="2"/>
          <w:sz w:val="28"/>
          <w:szCs w:val="22"/>
          <w:lang w:val="en-US" w:eastAsia="zh-CN"/>
        </w:rPr>
      </w:pPr>
      <w:r>
        <w:rPr>
          <w:rFonts w:hint="eastAsia" w:eastAsia="方正仿宋_GBK" w:asciiTheme="minorHAnsi" w:hAnsiTheme="minorHAnsi" w:cstheme="minorBidi"/>
          <w:kern w:val="2"/>
          <w:sz w:val="28"/>
          <w:szCs w:val="22"/>
          <w:lang w:eastAsia="zh-CN"/>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霸州市东杨庄乡下坊中心小学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hint="eastAsia" w:ascii="方正仿宋_GBK"/>
          <w:lang w:eastAsia="zh-CN"/>
        </w:rPr>
      </w:pPr>
      <w:r>
        <w:rPr>
          <w:rFonts w:hint="eastAsia" w:ascii="方正仿宋_GBK"/>
        </w:rPr>
        <w:t>反映本单位当年全部收入。2023年预算收入</w:t>
      </w:r>
      <w:r>
        <w:rPr>
          <w:rFonts w:hint="eastAsia" w:ascii="方正仿宋_GBK"/>
          <w:lang w:val="en-US" w:eastAsia="zh-CN"/>
        </w:rPr>
        <w:t>538.64</w:t>
      </w:r>
      <w:r>
        <w:rPr>
          <w:rFonts w:hint="eastAsia" w:ascii="方正仿宋_GBK"/>
        </w:rPr>
        <w:t>元，其中：一般公共预算收入</w:t>
      </w:r>
      <w:r>
        <w:rPr>
          <w:rFonts w:hint="eastAsia" w:ascii="方正仿宋_GBK"/>
          <w:lang w:val="en-US" w:eastAsia="zh-CN"/>
        </w:rPr>
        <w:t>538.64</w:t>
      </w:r>
      <w:r>
        <w:rPr>
          <w:rFonts w:hint="eastAsia" w:ascii="方正仿宋_GBK"/>
        </w:rPr>
        <w:t>万元，基金预算收入</w:t>
      </w:r>
      <w:r>
        <w:rPr>
          <w:rFonts w:hint="eastAsia" w:ascii="方正仿宋_GBK"/>
          <w:lang w:val="en-US" w:eastAsia="zh-CN"/>
        </w:rPr>
        <w:t>0</w:t>
      </w:r>
      <w:r>
        <w:rPr>
          <w:rFonts w:hint="eastAsia" w:ascii="方正仿宋_GBK"/>
        </w:rPr>
        <w:t>万元，财政专户核拨收入</w:t>
      </w:r>
      <w:r>
        <w:rPr>
          <w:rFonts w:hint="eastAsia" w:ascii="方正仿宋_GBK"/>
          <w:lang w:val="en-US" w:eastAsia="zh-CN"/>
        </w:rPr>
        <w:t>0</w:t>
      </w:r>
      <w:r>
        <w:rPr>
          <w:rFonts w:hint="eastAsia" w:ascii="方正仿宋_GBK"/>
        </w:rPr>
        <w:t>万元，其他来源收入</w:t>
      </w:r>
      <w:r>
        <w:rPr>
          <w:rFonts w:hint="eastAsia" w:ascii="方正仿宋_GBK"/>
          <w:lang w:val="en-US" w:eastAsia="zh-CN"/>
        </w:rPr>
        <w:t>0</w:t>
      </w:r>
      <w:r>
        <w:rPr>
          <w:rFonts w:hint="eastAsia" w:ascii="方正仿宋_GBK"/>
        </w:rPr>
        <w:t>万元，上年结转</w:t>
      </w:r>
      <w:r>
        <w:rPr>
          <w:rFonts w:hint="eastAsia" w:ascii="方正仿宋_GBK"/>
          <w:lang w:val="en-US" w:eastAsia="zh-CN"/>
        </w:rPr>
        <w:t>0</w:t>
      </w:r>
      <w:r>
        <w:rPr>
          <w:rFonts w:hint="eastAsia" w:ascii="方正仿宋_GBK"/>
        </w:rPr>
        <w:t>万元</w:t>
      </w:r>
      <w:r>
        <w:rPr>
          <w:rFonts w:hint="eastAsia" w:ascii="方正仿宋_GBK"/>
          <w:lang w:eastAsia="zh-CN"/>
        </w:rPr>
        <w:t>。</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w:t>
      </w:r>
      <w:r>
        <w:rPr>
          <w:rFonts w:hint="eastAsia" w:ascii="方正仿宋_GBK"/>
          <w:lang w:val="en-US" w:eastAsia="zh-CN"/>
        </w:rPr>
        <w:t>东杨庄乡下坊中心校</w:t>
      </w:r>
      <w:r>
        <w:rPr>
          <w:rFonts w:hint="eastAsia" w:ascii="方正仿宋_GBK"/>
        </w:rPr>
        <w:t>单位2023年度单位预算中支出预算的总体情况。2023年支出预算</w:t>
      </w:r>
      <w:r>
        <w:rPr>
          <w:rFonts w:hint="eastAsia" w:ascii="方正仿宋_GBK"/>
          <w:lang w:val="en-US" w:eastAsia="zh-CN"/>
        </w:rPr>
        <w:t>538.64</w:t>
      </w:r>
      <w:r>
        <w:rPr>
          <w:rFonts w:hint="eastAsia" w:ascii="方正仿宋_GBK"/>
        </w:rPr>
        <w:t>万元，其中：基本支出</w:t>
      </w:r>
      <w:r>
        <w:rPr>
          <w:rFonts w:hint="eastAsia" w:ascii="方正仿宋_GBK"/>
          <w:lang w:val="en-US" w:eastAsia="zh-CN"/>
        </w:rPr>
        <w:t>485.91</w:t>
      </w:r>
      <w:r>
        <w:rPr>
          <w:rFonts w:hint="eastAsia" w:ascii="方正仿宋_GBK"/>
        </w:rPr>
        <w:t>万元，包括人员经费</w:t>
      </w:r>
      <w:r>
        <w:rPr>
          <w:rFonts w:hint="eastAsia" w:ascii="方正仿宋_GBK"/>
          <w:lang w:val="en-US" w:eastAsia="zh-CN"/>
        </w:rPr>
        <w:t>479.37</w:t>
      </w:r>
      <w:r>
        <w:rPr>
          <w:rFonts w:hint="eastAsia" w:ascii="方正仿宋_GBK"/>
        </w:rPr>
        <w:t>万元和日常公用经费</w:t>
      </w:r>
      <w:r>
        <w:rPr>
          <w:rFonts w:hint="eastAsia" w:ascii="方正仿宋_GBK"/>
          <w:lang w:val="en-US" w:eastAsia="zh-CN"/>
        </w:rPr>
        <w:t>6.54</w:t>
      </w:r>
      <w:r>
        <w:rPr>
          <w:rFonts w:hint="eastAsia" w:ascii="方正仿宋_GBK"/>
        </w:rPr>
        <w:t>万元；项目支出</w:t>
      </w:r>
      <w:r>
        <w:rPr>
          <w:rFonts w:hint="eastAsia" w:ascii="方正仿宋_GBK"/>
          <w:lang w:val="en-US" w:eastAsia="zh-CN"/>
        </w:rPr>
        <w:t>52.73</w:t>
      </w:r>
      <w:r>
        <w:rPr>
          <w:rFonts w:hint="eastAsia" w:ascii="方正仿宋_GBK"/>
        </w:rPr>
        <w:t>万元，主要为：</w:t>
      </w:r>
      <w:r>
        <w:rPr>
          <w:rFonts w:hint="eastAsia" w:ascii="方正仿宋_GBK"/>
          <w:lang w:val="en-US" w:eastAsia="zh-CN"/>
        </w:rPr>
        <w:t>电费</w:t>
      </w:r>
      <w:r>
        <w:rPr>
          <w:rFonts w:hint="eastAsia" w:ascii="方正仿宋_GBK"/>
        </w:rPr>
        <w:t>、</w:t>
      </w:r>
      <w:r>
        <w:rPr>
          <w:rFonts w:hint="eastAsia" w:ascii="方正仿宋_GBK"/>
          <w:lang w:val="en-US" w:eastAsia="zh-CN"/>
        </w:rPr>
        <w:t>物业管理费、取暖费、培训费、办公费、福利费、工会经费</w:t>
      </w:r>
      <w:r>
        <w:rPr>
          <w:rFonts w:hint="eastAsia" w:ascii="方正仿宋_GBK"/>
        </w:rPr>
        <w:t>。</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hint="eastAsia" w:ascii="方正仿宋_GBK"/>
          <w:lang w:val="en-US" w:eastAsia="zh-CN"/>
        </w:rPr>
        <w:t>538.64</w:t>
      </w:r>
      <w:r>
        <w:rPr>
          <w:rFonts w:hint="eastAsia" w:ascii="方正仿宋_GBK"/>
        </w:rPr>
        <w:t>万元，较2022年预算增加</w:t>
      </w:r>
      <w:r>
        <w:rPr>
          <w:rFonts w:hint="eastAsia" w:ascii="方正仿宋_GBK"/>
          <w:lang w:val="en-US" w:eastAsia="zh-CN"/>
        </w:rPr>
        <w:t>24.4</w:t>
      </w:r>
      <w:r>
        <w:rPr>
          <w:rFonts w:hint="eastAsia" w:ascii="方正仿宋_GBK"/>
        </w:rPr>
        <w:t>万元，其中：基本支出增加</w:t>
      </w:r>
      <w:r>
        <w:rPr>
          <w:rFonts w:hint="eastAsia" w:ascii="方正仿宋_GBK"/>
          <w:lang w:val="en-US" w:eastAsia="zh-CN"/>
        </w:rPr>
        <w:t>40.66</w:t>
      </w:r>
      <w:r>
        <w:rPr>
          <w:rFonts w:hint="eastAsia" w:ascii="方正仿宋_GBK"/>
        </w:rPr>
        <w:t>万元，主要为</w:t>
      </w:r>
      <w:r>
        <w:rPr>
          <w:rFonts w:hint="eastAsia" w:ascii="方正仿宋_GBK"/>
          <w:lang w:val="en-US" w:eastAsia="zh-CN"/>
        </w:rPr>
        <w:t>日常经费</w:t>
      </w:r>
      <w:r>
        <w:rPr>
          <w:rFonts w:hint="eastAsia" w:ascii="方正仿宋_GBK"/>
        </w:rPr>
        <w:t>支出；项目支出减少</w:t>
      </w:r>
      <w:r>
        <w:rPr>
          <w:rFonts w:hint="eastAsia" w:ascii="方正仿宋_GBK"/>
          <w:lang w:val="en-US" w:eastAsia="zh-CN"/>
        </w:rPr>
        <w:t>16.26</w:t>
      </w:r>
      <w:r>
        <w:rPr>
          <w:rFonts w:hint="eastAsia" w:ascii="方正仿宋_GBK"/>
        </w:rPr>
        <w:t>万元，主要为</w:t>
      </w:r>
      <w:r>
        <w:rPr>
          <w:rFonts w:hint="eastAsia" w:ascii="方正仿宋_GBK"/>
          <w:lang w:val="en-US" w:eastAsia="zh-CN"/>
        </w:rPr>
        <w:t>电费</w:t>
      </w:r>
      <w:r>
        <w:rPr>
          <w:rFonts w:hint="eastAsia" w:ascii="方正仿宋_GBK"/>
        </w:rPr>
        <w:t>、</w:t>
      </w:r>
      <w:r>
        <w:rPr>
          <w:rFonts w:hint="eastAsia" w:ascii="方正仿宋_GBK"/>
          <w:lang w:val="en-US" w:eastAsia="zh-CN"/>
        </w:rPr>
        <w:t>物业管理费、取暖费、培训费、办公费、福利费、工会经费</w:t>
      </w:r>
      <w:r>
        <w:rPr>
          <w:rFonts w:hint="eastAsia" w:ascii="方正仿宋_GBK"/>
        </w:rPr>
        <w:t>。</w:t>
      </w:r>
    </w:p>
    <w:p>
      <w:pPr>
        <w:spacing w:before="10" w:after="10"/>
        <w:ind w:firstLine="640"/>
        <w:outlineLvl w:val="5"/>
        <w:rPr>
          <w:lang w:val="uk-UA"/>
        </w:rPr>
      </w:pPr>
      <w:r>
        <w:rPr>
          <w:rFonts w:ascii="黑体" w:hAnsi="黑体" w:eastAsia="黑体" w:cs="黑体"/>
          <w:color w:val="000000"/>
          <w:sz w:val="32"/>
        </w:rPr>
        <w:t>三、机关运行经费安排情况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机关运行经费共计安排</w:t>
      </w:r>
      <w:r>
        <w:rPr>
          <w:rFonts w:hint="eastAsia" w:ascii="方正仿宋_GBK"/>
          <w:lang w:val="en-US" w:eastAsia="zh-CN"/>
        </w:rPr>
        <w:t>538.64</w:t>
      </w:r>
      <w:r>
        <w:rPr>
          <w:rFonts w:hint="eastAsia" w:ascii="方正仿宋_GBK"/>
        </w:rPr>
        <w:t>万元，主要用于</w:t>
      </w:r>
      <w:r>
        <w:rPr>
          <w:rFonts w:hint="eastAsia" w:ascii="方正仿宋_GBK"/>
          <w:lang w:val="en-US" w:eastAsia="zh-CN"/>
        </w:rPr>
        <w:t>办公区的办公费、电费、维修费、取暖费、物业管理费</w:t>
      </w:r>
      <w:r>
        <w:rPr>
          <w:rFonts w:hint="eastAsia" w:ascii="方正仿宋_GBK"/>
        </w:rPr>
        <w:t>等日常运行支出。</w:t>
      </w:r>
      <w:bookmarkStart w:id="0" w:name="_GoBack"/>
      <w:bookmarkEnd w:id="0"/>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val="en-US" w:eastAsia="zh-CN"/>
        </w:rPr>
        <w:t>0</w:t>
      </w:r>
      <w:r>
        <w:rPr>
          <w:rFonts w:hint="eastAsia" w:ascii="方正仿宋_GBK"/>
        </w:rPr>
        <w:t>万元。其中，因公出国（境）费</w:t>
      </w:r>
      <w:r>
        <w:rPr>
          <w:rFonts w:hint="eastAsia" w:ascii="方正仿宋_GBK"/>
          <w:lang w:val="en-US" w:eastAsia="zh-CN"/>
        </w:rPr>
        <w:t>0</w:t>
      </w:r>
      <w:r>
        <w:rPr>
          <w:rFonts w:hint="eastAsia" w:ascii="方正仿宋_GBK"/>
        </w:rPr>
        <w:t>万元；公务用车购置及运维费</w:t>
      </w:r>
      <w:r>
        <w:rPr>
          <w:rFonts w:hint="eastAsia" w:ascii="方正仿宋_GBK"/>
          <w:lang w:val="en-US" w:eastAsia="zh-CN"/>
        </w:rPr>
        <w:t>0</w:t>
      </w:r>
      <w:r>
        <w:rPr>
          <w:rFonts w:hint="eastAsia" w:ascii="方正仿宋_GBK"/>
        </w:rPr>
        <w:t>万元（其中：公务用车购置费为</w:t>
      </w:r>
      <w:r>
        <w:rPr>
          <w:rFonts w:hint="eastAsia" w:ascii="方正仿宋_GBK"/>
          <w:lang w:val="en-US" w:eastAsia="zh-CN"/>
        </w:rPr>
        <w:t>0</w:t>
      </w:r>
      <w:r>
        <w:rPr>
          <w:rFonts w:hint="eastAsia" w:ascii="方正仿宋_GBK"/>
        </w:rPr>
        <w:t>万元，公务用车运维费</w:t>
      </w:r>
      <w:r>
        <w:rPr>
          <w:rFonts w:hint="eastAsia" w:ascii="方正仿宋_GBK"/>
          <w:lang w:val="en-US" w:eastAsia="zh-CN"/>
        </w:rPr>
        <w:t>0</w:t>
      </w:r>
      <w:r>
        <w:rPr>
          <w:rFonts w:hint="eastAsia" w:ascii="方正仿宋_GBK"/>
        </w:rPr>
        <w:t>万元)；公务接待费</w:t>
      </w:r>
      <w:r>
        <w:rPr>
          <w:rFonts w:hint="eastAsia" w:ascii="方正仿宋_GBK"/>
          <w:lang w:val="en-US" w:eastAsia="zh-CN"/>
        </w:rPr>
        <w:t>0</w:t>
      </w:r>
      <w:r>
        <w:rPr>
          <w:rFonts w:hint="eastAsia" w:ascii="方正仿宋_GBK"/>
        </w:rPr>
        <w:t>万元。与2022年相比无增减变化。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≥520人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p>
          <w:p>
            <w:pPr>
              <w:pStyle w:val="22"/>
            </w:pPr>
            <w:r>
              <w:t>2.返聘教师薪酬及人身意外保险得到有效保障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返聘教师人数</w:t>
            </w:r>
          </w:p>
        </w:tc>
        <w:tc>
          <w:tcPr>
            <w:tcW w:w="2835" w:type="dxa"/>
            <w:vAlign w:val="center"/>
          </w:tcPr>
          <w:p>
            <w:pPr>
              <w:pStyle w:val="22"/>
            </w:pPr>
            <w:r>
              <w:t>返聘教师人数</w:t>
            </w:r>
          </w:p>
        </w:tc>
        <w:tc>
          <w:tcPr>
            <w:tcW w:w="2551" w:type="dxa"/>
            <w:vAlign w:val="center"/>
          </w:tcPr>
          <w:p>
            <w:pPr>
              <w:pStyle w:val="22"/>
            </w:pPr>
            <w:r>
              <w:t>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教学完成率</w:t>
            </w:r>
          </w:p>
        </w:tc>
        <w:tc>
          <w:tcPr>
            <w:tcW w:w="2835" w:type="dxa"/>
            <w:vAlign w:val="center"/>
          </w:tcPr>
          <w:p>
            <w:pPr>
              <w:pStyle w:val="22"/>
            </w:pPr>
            <w:r>
              <w:t>教学完成率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返聘教师工作时长</w:t>
            </w:r>
          </w:p>
        </w:tc>
        <w:tc>
          <w:tcPr>
            <w:tcW w:w="2835" w:type="dxa"/>
            <w:vAlign w:val="center"/>
          </w:tcPr>
          <w:p>
            <w:pPr>
              <w:pStyle w:val="22"/>
            </w:pPr>
            <w:r>
              <w:t>返聘教师工作时长</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财政投入金额</w:t>
            </w:r>
          </w:p>
        </w:tc>
        <w:tc>
          <w:tcPr>
            <w:tcW w:w="2835" w:type="dxa"/>
            <w:vAlign w:val="center"/>
          </w:tcPr>
          <w:p>
            <w:pPr>
              <w:pStyle w:val="22"/>
            </w:pPr>
            <w:r>
              <w:t>财政投入金额</w:t>
            </w:r>
          </w:p>
        </w:tc>
        <w:tc>
          <w:tcPr>
            <w:tcW w:w="2551" w:type="dxa"/>
            <w:vAlign w:val="center"/>
          </w:tcPr>
          <w:p>
            <w:pPr>
              <w:pStyle w:val="22"/>
            </w:pPr>
            <w:r>
              <w:t>14.51万元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是否有效保障完成教育教学活动</w:t>
            </w:r>
          </w:p>
        </w:tc>
        <w:tc>
          <w:tcPr>
            <w:tcW w:w="2835" w:type="dxa"/>
            <w:vAlign w:val="center"/>
          </w:tcPr>
          <w:p>
            <w:pPr>
              <w:pStyle w:val="22"/>
            </w:pPr>
            <w:r>
              <w:t>是否有效保障完成教育教学活动</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是否有效环节学校师资力量紧张情况</w:t>
            </w:r>
          </w:p>
        </w:tc>
        <w:tc>
          <w:tcPr>
            <w:tcW w:w="2835" w:type="dxa"/>
            <w:vAlign w:val="center"/>
          </w:tcPr>
          <w:p>
            <w:pPr>
              <w:pStyle w:val="22"/>
            </w:pPr>
            <w:r>
              <w:t>是否有效环节学校师资力量紧张情况</w:t>
            </w:r>
          </w:p>
        </w:tc>
        <w:tc>
          <w:tcPr>
            <w:tcW w:w="2551" w:type="dxa"/>
            <w:vAlign w:val="center"/>
          </w:tcPr>
          <w:p>
            <w:pPr>
              <w:pStyle w:val="22"/>
            </w:pPr>
            <w:r>
              <w:t>有效环节</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≥520人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≥520人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2023年，霸州市东杨庄乡下坊中心小学安排政府采购预算9.25万元。具体内容见下表。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501555霸州市东杨庄乡下坊中心小学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9.25</w:t>
            </w:r>
          </w:p>
        </w:tc>
        <w:tc>
          <w:tcPr>
            <w:tcW w:w="964" w:type="dxa"/>
            <w:vAlign w:val="center"/>
          </w:tcPr>
          <w:p>
            <w:pPr>
              <w:pStyle w:val="25"/>
            </w:pPr>
            <w:r>
              <w:t>9.25</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9.25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霸州市东杨庄乡下坊中心小学小计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9.25</w:t>
            </w:r>
          </w:p>
        </w:tc>
        <w:tc>
          <w:tcPr>
            <w:tcW w:w="964" w:type="dxa"/>
            <w:vAlign w:val="center"/>
          </w:tcPr>
          <w:p>
            <w:pPr>
              <w:pStyle w:val="25"/>
            </w:pPr>
            <w:r>
              <w:t>9.25</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9.25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25.00</w:t>
            </w:r>
          </w:p>
        </w:tc>
        <w:tc>
          <w:tcPr>
            <w:tcW w:w="1134" w:type="dxa"/>
            <w:vAlign w:val="center"/>
          </w:tcPr>
          <w:p>
            <w:pPr>
              <w:pStyle w:val="22"/>
            </w:pPr>
            <w:r>
              <w:t>空调机组</w:t>
            </w:r>
          </w:p>
        </w:tc>
        <w:tc>
          <w:tcPr>
            <w:tcW w:w="1134" w:type="dxa"/>
            <w:vAlign w:val="center"/>
          </w:tcPr>
          <w:p>
            <w:pPr>
              <w:pStyle w:val="22"/>
            </w:pPr>
            <w:r>
              <w:t>A02052305</w:t>
            </w:r>
          </w:p>
        </w:tc>
        <w:tc>
          <w:tcPr>
            <w:tcW w:w="709" w:type="dxa"/>
            <w:vAlign w:val="center"/>
          </w:tcPr>
          <w:p>
            <w:pPr>
              <w:pStyle w:val="23"/>
            </w:pPr>
            <w:r>
              <w:t>台</w:t>
            </w:r>
          </w:p>
        </w:tc>
        <w:tc>
          <w:tcPr>
            <w:tcW w:w="850" w:type="dxa"/>
            <w:vAlign w:val="center"/>
          </w:tcPr>
          <w:p>
            <w:pPr>
              <w:pStyle w:val="21"/>
            </w:pPr>
            <w:r>
              <w:t>2</w:t>
            </w:r>
          </w:p>
        </w:tc>
        <w:tc>
          <w:tcPr>
            <w:tcW w:w="850" w:type="dxa"/>
            <w:vAlign w:val="center"/>
          </w:tcPr>
          <w:p>
            <w:pPr>
              <w:pStyle w:val="21"/>
            </w:pPr>
            <w:r>
              <w:t>0.40</w:t>
            </w:r>
          </w:p>
        </w:tc>
        <w:tc>
          <w:tcPr>
            <w:tcW w:w="964" w:type="dxa"/>
            <w:vAlign w:val="center"/>
          </w:tcPr>
          <w:p>
            <w:pPr>
              <w:pStyle w:val="21"/>
            </w:pPr>
            <w:r>
              <w:t>0.80</w:t>
            </w:r>
          </w:p>
        </w:tc>
        <w:tc>
          <w:tcPr>
            <w:tcW w:w="964" w:type="dxa"/>
            <w:vAlign w:val="center"/>
          </w:tcPr>
          <w:p>
            <w:pPr>
              <w:pStyle w:val="21"/>
            </w:pPr>
            <w:r>
              <w:t>0.80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25.00</w:t>
            </w:r>
          </w:p>
        </w:tc>
        <w:tc>
          <w:tcPr>
            <w:tcW w:w="1134" w:type="dxa"/>
            <w:vAlign w:val="center"/>
          </w:tcPr>
          <w:p>
            <w:pPr>
              <w:pStyle w:val="22"/>
            </w:pPr>
            <w:r>
              <w:t>其他仪器仪表</w:t>
            </w:r>
          </w:p>
        </w:tc>
        <w:tc>
          <w:tcPr>
            <w:tcW w:w="1134" w:type="dxa"/>
            <w:vAlign w:val="center"/>
          </w:tcPr>
          <w:p>
            <w:pPr>
              <w:pStyle w:val="22"/>
            </w:pPr>
            <w:r>
              <w:t>A02109900</w:t>
            </w:r>
          </w:p>
        </w:tc>
        <w:tc>
          <w:tcPr>
            <w:tcW w:w="709" w:type="dxa"/>
            <w:vAlign w:val="center"/>
          </w:tcPr>
          <w:p>
            <w:pPr>
              <w:pStyle w:val="23"/>
            </w:pPr>
            <w:r>
              <w:t>台</w:t>
            </w:r>
          </w:p>
        </w:tc>
        <w:tc>
          <w:tcPr>
            <w:tcW w:w="850" w:type="dxa"/>
            <w:vAlign w:val="center"/>
          </w:tcPr>
          <w:p>
            <w:pPr>
              <w:pStyle w:val="21"/>
            </w:pPr>
            <w:r>
              <w:t>1</w:t>
            </w:r>
          </w:p>
        </w:tc>
        <w:tc>
          <w:tcPr>
            <w:tcW w:w="850" w:type="dxa"/>
            <w:vAlign w:val="center"/>
          </w:tcPr>
          <w:p>
            <w:pPr>
              <w:pStyle w:val="21"/>
            </w:pPr>
            <w:r>
              <w:t>1.38</w:t>
            </w:r>
          </w:p>
        </w:tc>
        <w:tc>
          <w:tcPr>
            <w:tcW w:w="964" w:type="dxa"/>
            <w:vAlign w:val="center"/>
          </w:tcPr>
          <w:p>
            <w:pPr>
              <w:pStyle w:val="21"/>
            </w:pPr>
            <w:r>
              <w:t>1.38</w:t>
            </w:r>
          </w:p>
        </w:tc>
        <w:tc>
          <w:tcPr>
            <w:tcW w:w="964" w:type="dxa"/>
            <w:vAlign w:val="center"/>
          </w:tcPr>
          <w:p>
            <w:pPr>
              <w:pStyle w:val="21"/>
            </w:pPr>
            <w:r>
              <w:t>1.38</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25.00</w:t>
            </w:r>
          </w:p>
        </w:tc>
        <w:tc>
          <w:tcPr>
            <w:tcW w:w="1134" w:type="dxa"/>
            <w:vAlign w:val="center"/>
          </w:tcPr>
          <w:p>
            <w:pPr>
              <w:pStyle w:val="22"/>
            </w:pPr>
            <w:r>
              <w:t>其他柜类</w:t>
            </w:r>
          </w:p>
        </w:tc>
        <w:tc>
          <w:tcPr>
            <w:tcW w:w="1134" w:type="dxa"/>
            <w:vAlign w:val="center"/>
          </w:tcPr>
          <w:p>
            <w:pPr>
              <w:pStyle w:val="22"/>
            </w:pPr>
            <w:r>
              <w:t>A05010599</w:t>
            </w:r>
          </w:p>
        </w:tc>
        <w:tc>
          <w:tcPr>
            <w:tcW w:w="709" w:type="dxa"/>
            <w:vAlign w:val="center"/>
          </w:tcPr>
          <w:p>
            <w:pPr>
              <w:pStyle w:val="23"/>
            </w:pPr>
            <w:r>
              <w:t>平米</w:t>
            </w:r>
          </w:p>
        </w:tc>
        <w:tc>
          <w:tcPr>
            <w:tcW w:w="850" w:type="dxa"/>
            <w:vAlign w:val="center"/>
          </w:tcPr>
          <w:p>
            <w:pPr>
              <w:pStyle w:val="21"/>
            </w:pPr>
            <w:r>
              <w:t>77</w:t>
            </w:r>
          </w:p>
        </w:tc>
        <w:tc>
          <w:tcPr>
            <w:tcW w:w="850" w:type="dxa"/>
            <w:vAlign w:val="center"/>
          </w:tcPr>
          <w:p>
            <w:pPr>
              <w:pStyle w:val="21"/>
            </w:pPr>
            <w:r>
              <w:t>0.07</w:t>
            </w:r>
          </w:p>
        </w:tc>
        <w:tc>
          <w:tcPr>
            <w:tcW w:w="964" w:type="dxa"/>
            <w:vAlign w:val="center"/>
          </w:tcPr>
          <w:p>
            <w:pPr>
              <w:pStyle w:val="21"/>
            </w:pPr>
            <w:r>
              <w:t>5.39</w:t>
            </w:r>
          </w:p>
        </w:tc>
        <w:tc>
          <w:tcPr>
            <w:tcW w:w="964" w:type="dxa"/>
            <w:vAlign w:val="center"/>
          </w:tcPr>
          <w:p>
            <w:pPr>
              <w:pStyle w:val="21"/>
            </w:pPr>
            <w:r>
              <w:t>5.39</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5.39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25.00</w:t>
            </w:r>
          </w:p>
        </w:tc>
        <w:tc>
          <w:tcPr>
            <w:tcW w:w="1134" w:type="dxa"/>
            <w:vAlign w:val="center"/>
          </w:tcPr>
          <w:p>
            <w:pPr>
              <w:pStyle w:val="22"/>
            </w:pPr>
            <w:r>
              <w:t>其他室内装具</w:t>
            </w:r>
          </w:p>
        </w:tc>
        <w:tc>
          <w:tcPr>
            <w:tcW w:w="1134" w:type="dxa"/>
            <w:vAlign w:val="center"/>
          </w:tcPr>
          <w:p>
            <w:pPr>
              <w:pStyle w:val="22"/>
            </w:pPr>
            <w:r>
              <w:t>A05030599</w:t>
            </w:r>
          </w:p>
        </w:tc>
        <w:tc>
          <w:tcPr>
            <w:tcW w:w="709" w:type="dxa"/>
            <w:vAlign w:val="center"/>
          </w:tcPr>
          <w:p>
            <w:pPr>
              <w:pStyle w:val="23"/>
            </w:pPr>
            <w:r>
              <w:t>个</w:t>
            </w:r>
          </w:p>
        </w:tc>
        <w:tc>
          <w:tcPr>
            <w:tcW w:w="850" w:type="dxa"/>
            <w:vAlign w:val="center"/>
          </w:tcPr>
          <w:p>
            <w:pPr>
              <w:pStyle w:val="21"/>
            </w:pPr>
            <w:r>
              <w:t>24</w:t>
            </w:r>
          </w:p>
        </w:tc>
        <w:tc>
          <w:tcPr>
            <w:tcW w:w="850" w:type="dxa"/>
            <w:vAlign w:val="center"/>
          </w:tcPr>
          <w:p>
            <w:pPr>
              <w:pStyle w:val="21"/>
            </w:pPr>
            <w:r>
              <w:t>0.07</w:t>
            </w:r>
          </w:p>
        </w:tc>
        <w:tc>
          <w:tcPr>
            <w:tcW w:w="964" w:type="dxa"/>
            <w:vAlign w:val="center"/>
          </w:tcPr>
          <w:p>
            <w:pPr>
              <w:pStyle w:val="21"/>
            </w:pPr>
            <w:r>
              <w:t>1.68</w:t>
            </w:r>
          </w:p>
        </w:tc>
        <w:tc>
          <w:tcPr>
            <w:tcW w:w="964" w:type="dxa"/>
            <w:vAlign w:val="center"/>
          </w:tcPr>
          <w:p>
            <w:pPr>
              <w:pStyle w:val="21"/>
            </w:pPr>
            <w:r>
              <w:t>1.68</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1.68</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霸州市东杨庄乡下坊中心小学上年末固定资产金额为</w:t>
      </w:r>
      <w:r>
        <w:rPr>
          <w:rFonts w:hint="eastAsia" w:eastAsia="方正仿宋_GBK"/>
          <w:color w:val="000000"/>
          <w:sz w:val="28"/>
          <w:lang w:val="en-US" w:eastAsia="zh-CN"/>
        </w:rPr>
        <w:t>152.7</w:t>
      </w:r>
      <w:r>
        <w:rPr>
          <w:rFonts w:eastAsia="方正仿宋_GBK"/>
          <w:color w:val="000000"/>
          <w:sz w:val="28"/>
        </w:rPr>
        <w:t>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501555霸州市东杨庄乡下坊中心小学</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center"/>
              <w:rPr>
                <w:rFonts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rPr>
              <w:t>资产总额</w:t>
            </w:r>
          </w:p>
        </w:tc>
        <w:tc>
          <w:tcPr>
            <w:tcW w:w="2835" w:type="dxa"/>
            <w:vAlign w:val="center"/>
          </w:tcPr>
          <w:p>
            <w:pPr>
              <w:widowControl/>
              <w:jc w:val="center"/>
              <w:rPr>
                <w:rFonts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rPr>
              <w:t>——</w:t>
            </w:r>
          </w:p>
        </w:tc>
        <w:tc>
          <w:tcPr>
            <w:tcW w:w="2835" w:type="dxa"/>
            <w:vAlign w:val="center"/>
          </w:tcPr>
          <w:p>
            <w:pPr>
              <w:widowControl/>
              <w:jc w:val="center"/>
              <w:rPr>
                <w:rFonts w:hint="default"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lang w:val="en-US" w:eastAsia="zh-CN"/>
              </w:rPr>
              <w:t>152.70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rPr>
              <w:t>1、房屋（平方米）</w:t>
            </w:r>
          </w:p>
        </w:tc>
        <w:tc>
          <w:tcPr>
            <w:tcW w:w="2835" w:type="dxa"/>
            <w:vAlign w:val="center"/>
          </w:tcPr>
          <w:p>
            <w:pPr>
              <w:widowControl/>
              <w:jc w:val="center"/>
              <w:rPr>
                <w:rFonts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rPr>
              <w:t>0</w:t>
            </w:r>
          </w:p>
        </w:tc>
        <w:tc>
          <w:tcPr>
            <w:tcW w:w="2835" w:type="dxa"/>
            <w:vAlign w:val="center"/>
          </w:tcPr>
          <w:p>
            <w:pPr>
              <w:widowControl/>
              <w:jc w:val="center"/>
              <w:rPr>
                <w:rFonts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rPr>
              <w:t xml:space="preserve">   其中：办公用房（平方米）</w:t>
            </w:r>
          </w:p>
        </w:tc>
        <w:tc>
          <w:tcPr>
            <w:tcW w:w="2835" w:type="dxa"/>
            <w:vAlign w:val="center"/>
          </w:tcPr>
          <w:p>
            <w:pPr>
              <w:widowControl/>
              <w:jc w:val="center"/>
              <w:rPr>
                <w:rFonts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rPr>
              <w:t>0</w:t>
            </w:r>
          </w:p>
        </w:tc>
        <w:tc>
          <w:tcPr>
            <w:tcW w:w="2835" w:type="dxa"/>
            <w:vAlign w:val="center"/>
          </w:tcPr>
          <w:p>
            <w:pPr>
              <w:widowControl/>
              <w:jc w:val="center"/>
              <w:rPr>
                <w:rFonts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rPr>
              <w:t>2、车辆（台、辆）</w:t>
            </w:r>
          </w:p>
        </w:tc>
        <w:tc>
          <w:tcPr>
            <w:tcW w:w="2835" w:type="dxa"/>
            <w:vAlign w:val="center"/>
          </w:tcPr>
          <w:p>
            <w:pPr>
              <w:widowControl/>
              <w:jc w:val="center"/>
              <w:rPr>
                <w:rFonts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rPr>
              <w:t>0</w:t>
            </w:r>
          </w:p>
        </w:tc>
        <w:tc>
          <w:tcPr>
            <w:tcW w:w="2835" w:type="dxa"/>
            <w:vAlign w:val="center"/>
          </w:tcPr>
          <w:p>
            <w:pPr>
              <w:widowControl/>
              <w:jc w:val="center"/>
              <w:rPr>
                <w:rFonts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widowControl/>
              <w:jc w:val="left"/>
              <w:rPr>
                <w:rFonts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rPr>
              <w:t>3、单价在20万元以上的设备</w:t>
            </w:r>
          </w:p>
        </w:tc>
        <w:tc>
          <w:tcPr>
            <w:tcW w:w="0" w:type="auto"/>
            <w:vAlign w:val="center"/>
          </w:tcPr>
          <w:p>
            <w:pPr>
              <w:widowControl/>
              <w:jc w:val="center"/>
              <w:rPr>
                <w:rFonts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rPr>
              <w:t>0</w:t>
            </w:r>
          </w:p>
        </w:tc>
        <w:tc>
          <w:tcPr>
            <w:tcW w:w="0" w:type="auto"/>
            <w:vAlign w:val="center"/>
          </w:tcPr>
          <w:p>
            <w:pPr>
              <w:widowControl/>
              <w:jc w:val="center"/>
              <w:rPr>
                <w:rFonts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widowControl/>
              <w:jc w:val="left"/>
              <w:rPr>
                <w:rFonts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rPr>
              <w:t>4、其他固定资产</w:t>
            </w:r>
          </w:p>
        </w:tc>
        <w:tc>
          <w:tcPr>
            <w:tcW w:w="0" w:type="auto"/>
            <w:vAlign w:val="center"/>
          </w:tcPr>
          <w:p>
            <w:pPr>
              <w:widowControl/>
              <w:jc w:val="center"/>
              <w:rPr>
                <w:rFonts w:hint="default"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lang w:val="en-US" w:eastAsia="zh-CN"/>
              </w:rPr>
              <w:t>506</w:t>
            </w:r>
          </w:p>
        </w:tc>
        <w:tc>
          <w:tcPr>
            <w:tcW w:w="0" w:type="auto"/>
            <w:vAlign w:val="center"/>
          </w:tcPr>
          <w:p>
            <w:pPr>
              <w:widowControl/>
              <w:jc w:val="center"/>
              <w:rPr>
                <w:rFonts w:hint="default"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lang w:val="en-US" w:eastAsia="zh-CN"/>
              </w:rPr>
              <w:t>152.70</w:t>
            </w:r>
          </w:p>
        </w:tc>
      </w:tr>
    </w:tbl>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color w:val="000000"/>
          <w:sz w:val="28"/>
          <w:highlight w:val="none"/>
        </w:rPr>
        <w:t>、</w:t>
      </w:r>
      <w:r>
        <w:rPr>
          <w:rFonts w:eastAsia="方正仿宋_GBK"/>
          <w:b/>
          <w:color w:val="000000"/>
          <w:sz w:val="28"/>
          <w:highlight w:val="none"/>
        </w:rPr>
        <w:t>机关运行费：</w:t>
      </w:r>
      <w:r>
        <w:rPr>
          <w:rFonts w:eastAsia="方正仿宋_GBK"/>
          <w:color w:val="000000"/>
          <w:sz w:val="28"/>
          <w:highlight w:val="none"/>
        </w:rPr>
        <w:t>是指各单位的公用经费，包</w:t>
      </w:r>
      <w:r>
        <w:rPr>
          <w:rFonts w:eastAsia="方正仿宋_GBK"/>
          <w:color w:val="000000"/>
          <w:sz w:val="28"/>
        </w:rPr>
        <w:t>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9b2dc730-9068-496a-873a-997899d43a83"/>
  </w:docVars>
  <w:rsids>
    <w:rsidRoot w:val="004A1168"/>
    <w:rsid w:val="00012A57"/>
    <w:rsid w:val="000B7353"/>
    <w:rsid w:val="00136014"/>
    <w:rsid w:val="001F67F8"/>
    <w:rsid w:val="002F010E"/>
    <w:rsid w:val="003A5231"/>
    <w:rsid w:val="003D654A"/>
    <w:rsid w:val="00464BFB"/>
    <w:rsid w:val="004A1168"/>
    <w:rsid w:val="005B7AFC"/>
    <w:rsid w:val="006D6C4D"/>
    <w:rsid w:val="006F70C6"/>
    <w:rsid w:val="00972810"/>
    <w:rsid w:val="00991EB1"/>
    <w:rsid w:val="009B55A2"/>
    <w:rsid w:val="00A80758"/>
    <w:rsid w:val="00A9064A"/>
    <w:rsid w:val="00A915A7"/>
    <w:rsid w:val="00AA1FB3"/>
    <w:rsid w:val="00AD578B"/>
    <w:rsid w:val="00B6757F"/>
    <w:rsid w:val="00BB35A7"/>
    <w:rsid w:val="00C57197"/>
    <w:rsid w:val="00C672B5"/>
    <w:rsid w:val="00CC7E62"/>
    <w:rsid w:val="00D513F4"/>
    <w:rsid w:val="00D64AD2"/>
    <w:rsid w:val="00D76A2E"/>
    <w:rsid w:val="00D93167"/>
    <w:rsid w:val="00D9444E"/>
    <w:rsid w:val="00E20116"/>
    <w:rsid w:val="00E3061C"/>
    <w:rsid w:val="00EF51BF"/>
    <w:rsid w:val="00FC209C"/>
    <w:rsid w:val="05E84415"/>
    <w:rsid w:val="154822A4"/>
    <w:rsid w:val="17B71D78"/>
    <w:rsid w:val="33A51508"/>
    <w:rsid w:val="44906321"/>
    <w:rsid w:val="4F483B58"/>
    <w:rsid w:val="51905150"/>
    <w:rsid w:val="5C410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qFormat/>
    <w:uiPriority w:val="99"/>
    <w:rPr>
      <w:sz w:val="18"/>
      <w:szCs w:val="18"/>
    </w:rPr>
  </w:style>
  <w:style w:type="character" w:customStyle="1" w:styleId="14">
    <w:name w:val="页脚 字符"/>
    <w:basedOn w:val="12"/>
    <w:link w:val="5"/>
    <w:qFormat/>
    <w:uiPriority w:val="99"/>
    <w:rPr>
      <w:sz w:val="18"/>
      <w:szCs w:val="18"/>
    </w:rPr>
  </w:style>
  <w:style w:type="character" w:customStyle="1" w:styleId="15">
    <w:name w:val="标题 1 字符"/>
    <w:basedOn w:val="12"/>
    <w:link w:val="2"/>
    <w:qFormat/>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qFormat/>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24</Pages>
  <Words>5862</Words>
  <Characters>6863</Characters>
  <Lines>70</Lines>
  <Paragraphs>19</Paragraphs>
  <TotalTime>2</TotalTime>
  <ScaleCrop>false</ScaleCrop>
  <LinksUpToDate>false</LinksUpToDate>
  <CharactersWithSpaces>7001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dcterms:modified xsi:type="dcterms:W3CDTF">2023-08-14T10:35:20Z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187DA818249A4F9BACA75AED0C756C55_13</vt:lpwstr>
  </property>
</Properties>
</file>